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A5" w:rsidRDefault="00AF59A5" w:rsidP="00AF59A5">
      <w:pPr>
        <w:spacing w:after="0"/>
        <w:ind w:left="7513" w:hanging="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Додаток 1</w:t>
      </w:r>
    </w:p>
    <w:p w:rsidR="00AF59A5" w:rsidRDefault="00AF59A5" w:rsidP="00AF59A5">
      <w:pPr>
        <w:spacing w:after="0"/>
        <w:ind w:left="7513" w:hanging="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до засідання ШМПП</w:t>
      </w:r>
    </w:p>
    <w:p w:rsidR="00AF59A5" w:rsidRDefault="00AF59A5" w:rsidP="00AF59A5">
      <w:pPr>
        <w:spacing w:after="0"/>
        <w:ind w:left="7513" w:hanging="14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протокол від ____ №01</w:t>
      </w:r>
    </w:p>
    <w:p w:rsidR="00AF59A5" w:rsidRPr="00AF59A5" w:rsidRDefault="00AF59A5" w:rsidP="00AF59A5">
      <w:pPr>
        <w:spacing w:after="0"/>
        <w:ind w:left="7513" w:hanging="142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F59A5" w:rsidRDefault="00AF59A5" w:rsidP="00AF59A5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</w:pPr>
      <w:r w:rsidRPr="00AF59A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uk-UA"/>
        </w:rPr>
        <w:t>Про здійснення оцінювання навчальних досягнень учнів</w:t>
      </w:r>
    </w:p>
    <w:p w:rsidR="00D00A5E" w:rsidRPr="00D00A5E" w:rsidRDefault="00D00A5E" w:rsidP="00D00A5E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00A5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 w:eastAsia="uk-UA"/>
        </w:rPr>
        <w:t>Викладач історії Ю. ЗАЇКІН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Об'єктом оцінювання навчальних досягнень учнів є знання, вміння та навички, досвід творчої діяльності, емоційно-ціннісного ставлення до навколишньої дійсності.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Успіхи навчально-пізнавальної діяльності учнів характеризуються кількісними та якісними показниками, що виражаються й фіксуються в оцінці успішності - системі певних показникі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відображають об'єктивні знання, уміння та навички.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знань - визначення й вираження в умовних одиницях (балах), а також в оцінних судженнях учителя знань, умінь і навичок учнів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вимог шкільних програм.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словами В. Сухомлинського, "найголовніше заохочення і найсильніше (та не завжди дійове) покарання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педагогічній практиці - оцінка. Це найгостріший інструмент, використання якого потребує величезного вміння і культури".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забезпечення об'єктивного оцінювання рівня навчальних досягнень учнів запроваджено 12-бальну шкалу, побудовану за принципом урахування їх особистих досягнень. При визначенні навчальних досягнень учнів аналізу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ідлягають: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характеристики відповіді учня: елементарна,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фрагментарна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неповна, повна, логічна, доказова, обґрунтована, творча;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якість знань: правильність, повнота, осмисленість, глибина, гнучкість, дієвість, системність, узагальненість, міцність;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ступінь сформованості загально навчальних та предметних умінь і навичок;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оволодіння розумовими операціями: вміння аналізувати, синтезувати, порівнювати, абстрагувати, узагальнювати, робити висновки тощо;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 творчої діяльності (вміння виявляти і розв'язувати проблеми, формулювати гіпотези);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самостійність оцінних суджень.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основі цих орієнтирів виокремлюють чотири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 навчальних досягнень учнів, які характеризуються такими показниками: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початковий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івень. Відповідь учня при відтворенні навчального матеріалу - елементарна,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фрагментарна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зумовлюється початковими уявленнями про предмет вивчення;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середній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івень. Учень відтворює основний навчальний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іал, здатний розв'язувати завдання за зразком, володіє елементарними вміннями навчальної діяльності;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достатній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івень. Учень знає істотні ознаки понять, явищ, закономірностей, зв'язків між ними, самостійно засвоює знання в стандартних ситуаціях, володіє розумовими операціями (аналізом, абстрагуванням, узагальненням тощо), вміє робити висновки, виправляти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помилки.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ідповідь повна, правильна, логічна, обґрунтована, хоча бракує власних суджень. Учитель здатний самостійно здійснювати основні види навчальної діяльності;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високий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івень. Знання учня є глибокими, міцними, узагальненими, системними; він вміє застосовувати знання творчо, його навчальна діяльність має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ідницький характер, позначена вмінням самостійно оцінювати різноманітні життєві ситуації, явища, факти, виявляти і відстоювати особисту позицію.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Зазначеним </w:t>
      </w:r>
      <w:proofErr w:type="gramStart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івням відповідають критерії оцінювання навчальних досягнень учнів за 12-бальною шкалою (табл.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F59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59A5" w:rsidRPr="00AF59A5" w:rsidRDefault="00AF59A5" w:rsidP="00AF59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Pr="00AF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Критерії оцінювання за 12-бальною </w:t>
      </w:r>
    </w:p>
    <w:tbl>
      <w:tblPr>
        <w:tblStyle w:val="a5"/>
        <w:tblW w:w="10538" w:type="dxa"/>
        <w:tblLook w:val="04A0" w:firstRow="1" w:lastRow="0" w:firstColumn="1" w:lastColumn="0" w:noHBand="0" w:noVBand="1"/>
      </w:tblPr>
      <w:tblGrid>
        <w:gridCol w:w="1951"/>
        <w:gridCol w:w="1005"/>
        <w:gridCol w:w="5509"/>
        <w:gridCol w:w="223"/>
        <w:gridCol w:w="223"/>
        <w:gridCol w:w="978"/>
        <w:gridCol w:w="649"/>
      </w:tblGrid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F59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івні навчальних досягнень</w:t>
            </w: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Бали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AF5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Загальні критерії оцінювання навчальних досягнень учнів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AF59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vMerge w:val="restart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І. Початковий</w:t>
            </w: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Учень може розрізняти об'єкт вивчення і відтворити деякі його елементи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vMerge/>
            <w:hideMark/>
          </w:tcPr>
          <w:p w:rsidR="00AF59A5" w:rsidRPr="00AF59A5" w:rsidRDefault="00AF59A5" w:rsidP="00AF59A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Учень фрагментарно відтворює незначну частину навчального </w:t>
            </w:r>
            <w:proofErr w:type="gramStart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іалу, має нечіткі уявлення про об'єкт вивчення, виявляє здатність елементарно викласти думку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vMerge/>
            <w:hideMark/>
          </w:tcPr>
          <w:p w:rsidR="00AF59A5" w:rsidRPr="00AF59A5" w:rsidRDefault="00AF59A5" w:rsidP="00AF59A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Учень відтворює менше половини навчального матеріалу; з допомогою вчителя виконує елементарні завдання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spacing w:before="100" w:beforeAutospacing="1" w:after="100" w:afterAutospacing="1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Учень знає майже половину навчального матеріалу, здатний відтворити його відповідно до тексту </w:t>
            </w:r>
            <w:proofErr w:type="gramStart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ідручника або пояснення вчителя, повторити за зразком певну операцію, дію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II. Середній</w:t>
            </w: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spacing w:before="100" w:beforeAutospacing="1" w:after="100" w:afterAutospacing="1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Учень розуміє основний навчальний </w:t>
            </w:r>
            <w:proofErr w:type="gramStart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іал, здатний з помилками й неточностями дати визначення понять, сформулювати правило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spacing w:before="100" w:beforeAutospacing="1" w:after="100" w:afterAutospacing="1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Учень виявляє знання і розуміння основних положень навчального матеріалу. Відповідь його правильна, але недостатньо осмислена. 3 допомогою вчителя здатний аналізувати, порівнювати, узагальнювати та робити 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висновки. Вміє застосовувати знання при розв'язуванні задач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spacing w:before="100" w:beforeAutospacing="1" w:after="100" w:afterAutospacing="1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Учень правильно, логічно відтворює навчальний матеріал, розуміє основоположні теорії і факти, вміє наводити окремі власні приклади на </w:t>
            </w:r>
            <w:proofErr w:type="gramStart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ідтвердження певних думок, застосовує вивчений матеріал у стандартних ситуаціях, частково контролює власні навчальні дії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III. Достатній</w:t>
            </w: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spacing w:before="100" w:beforeAutospacing="1" w:after="100" w:afterAutospacing="1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Знання учня є достатньо повними, він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вільно застосовує вивчений </w:t>
            </w:r>
            <w:proofErr w:type="gramStart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стандартних ситуаціях, вміє аналізувати,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встановлювати найсуттєвіші зв'язки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 залежно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сті між явищами, фактами, роби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 висновки, загалом контролює власну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діяльність. Відповідь його повна, логічна,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обґрунтована, але з деякими неточностями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Учень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вільно володіє вивченим матері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лом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застосовує знання в дещо змінених ситуаціях, вміє аналізувати і систематизувати інформацію, використовує загальновідомі докази у власній аргументації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IV. Високий</w:t>
            </w: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Учень володіє глибокими і міцними знаннями, здатний використовувати їх у нестандартних ситуаціях. Самостійно визначає цілі власної навчальної діяльності, критично оцінює окремі </w:t>
            </w:r>
            <w:proofErr w:type="gramStart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 факти, явища, ідеї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hideMark/>
          </w:tcPr>
          <w:p w:rsidR="00AF59A5" w:rsidRPr="00AF59A5" w:rsidRDefault="00AF59A5" w:rsidP="00AF59A5">
            <w:pPr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Учень володіє узагальненими знаннями з предмета, аргументовано використовує їх у нестандартних ситуаціях, уміє знаходити джерело інформації та аналізувати її, ставити і розв'язувати проблеми</w:t>
            </w:r>
          </w:p>
        </w:tc>
      </w:tr>
      <w:tr w:rsidR="00AF59A5" w:rsidRPr="00AF59A5" w:rsidTr="00AF59A5">
        <w:trPr>
          <w:gridAfter w:val="1"/>
          <w:wAfter w:w="649" w:type="dxa"/>
        </w:trPr>
        <w:tc>
          <w:tcPr>
            <w:tcW w:w="1951" w:type="dxa"/>
            <w:vMerge w:val="restart"/>
            <w:hideMark/>
          </w:tcPr>
          <w:p w:rsidR="00AF59A5" w:rsidRPr="00AF59A5" w:rsidRDefault="00AF59A5" w:rsidP="00AF59A5">
            <w:pPr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spacing w:before="100" w:beforeAutospacing="1" w:after="100" w:afterAutospacing="1"/>
              <w:ind w:firstLin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933" w:type="dxa"/>
            <w:gridSpan w:val="4"/>
            <w:hideMark/>
          </w:tcPr>
          <w:p w:rsidR="00AF59A5" w:rsidRPr="00AF59A5" w:rsidRDefault="00AF59A5" w:rsidP="00D00A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Визначає програму особистої </w:t>
            </w:r>
            <w:proofErr w:type="gramStart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F59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ізнавальної діяльності; самостійно оцінює різноманітні життєві явища і факти, виявляючи особисту позицію щодо них</w:t>
            </w:r>
          </w:p>
        </w:tc>
      </w:tr>
      <w:tr w:rsidR="00AF59A5" w:rsidRPr="00AF59A5" w:rsidTr="00AF59A5">
        <w:tc>
          <w:tcPr>
            <w:tcW w:w="1951" w:type="dxa"/>
            <w:vMerge/>
            <w:hideMark/>
          </w:tcPr>
          <w:p w:rsidR="00AF59A5" w:rsidRPr="00AF59A5" w:rsidRDefault="00AF59A5" w:rsidP="00AF5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hideMark/>
          </w:tcPr>
          <w:p w:rsidR="00AF59A5" w:rsidRPr="00AF59A5" w:rsidRDefault="00AF59A5" w:rsidP="00AF59A5">
            <w:pPr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9" w:type="dxa"/>
            <w:hideMark/>
          </w:tcPr>
          <w:p w:rsidR="00AF59A5" w:rsidRPr="00AF59A5" w:rsidRDefault="00AF59A5" w:rsidP="00AF5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59A5" w:rsidRPr="00AF59A5" w:rsidRDefault="00AF59A5" w:rsidP="00AF5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59A5" w:rsidRPr="00AF59A5" w:rsidRDefault="00AF59A5" w:rsidP="00AF5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hideMark/>
          </w:tcPr>
          <w:p w:rsidR="00AF59A5" w:rsidRPr="00AF59A5" w:rsidRDefault="00AF59A5" w:rsidP="00AF5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hideMark/>
          </w:tcPr>
          <w:p w:rsidR="00AF59A5" w:rsidRPr="00AF59A5" w:rsidRDefault="00AF59A5" w:rsidP="00AF5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A5E" w:rsidRPr="00D00A5E" w:rsidRDefault="00D00A5E" w:rsidP="00D00A5E">
      <w:pPr>
        <w:pStyle w:val="a3"/>
        <w:spacing w:line="276" w:lineRule="auto"/>
        <w:ind w:firstLine="225"/>
        <w:jc w:val="both"/>
        <w:rPr>
          <w:sz w:val="28"/>
          <w:szCs w:val="28"/>
        </w:rPr>
      </w:pPr>
      <w:r w:rsidRPr="00D00A5E">
        <w:rPr>
          <w:sz w:val="28"/>
          <w:szCs w:val="28"/>
        </w:rPr>
        <w:t>Відповідно до загальних критерії</w:t>
      </w:r>
      <w:proofErr w:type="gramStart"/>
      <w:r w:rsidRPr="00D00A5E">
        <w:rPr>
          <w:sz w:val="28"/>
          <w:szCs w:val="28"/>
        </w:rPr>
        <w:t>в</w:t>
      </w:r>
      <w:proofErr w:type="gramEnd"/>
      <w:r w:rsidRPr="00D00A5E">
        <w:rPr>
          <w:sz w:val="28"/>
          <w:szCs w:val="28"/>
        </w:rPr>
        <w:t xml:space="preserve"> </w:t>
      </w:r>
      <w:proofErr w:type="gramStart"/>
      <w:r w:rsidRPr="00D00A5E">
        <w:rPr>
          <w:sz w:val="28"/>
          <w:szCs w:val="28"/>
        </w:rPr>
        <w:t>до</w:t>
      </w:r>
      <w:proofErr w:type="gramEnd"/>
      <w:r w:rsidRPr="00D00A5E">
        <w:rPr>
          <w:sz w:val="28"/>
          <w:szCs w:val="28"/>
        </w:rPr>
        <w:t xml:space="preserve"> кожного навчального предмета розроблені конкретні критерії, які слугують нормами оцінок.</w:t>
      </w:r>
    </w:p>
    <w:p w:rsidR="00D00A5E" w:rsidRPr="00D00A5E" w:rsidRDefault="00D00A5E" w:rsidP="00D00A5E">
      <w:pPr>
        <w:pStyle w:val="a3"/>
        <w:spacing w:line="276" w:lineRule="auto"/>
        <w:ind w:firstLine="225"/>
        <w:jc w:val="both"/>
        <w:rPr>
          <w:sz w:val="28"/>
          <w:szCs w:val="28"/>
        </w:rPr>
      </w:pPr>
      <w:r w:rsidRPr="00D00A5E">
        <w:rPr>
          <w:sz w:val="28"/>
          <w:szCs w:val="28"/>
        </w:rPr>
        <w:t xml:space="preserve">Норми оцінок - конкретні вимоги, які регулюють виставлення оцінок з </w:t>
      </w:r>
      <w:proofErr w:type="gramStart"/>
      <w:r w:rsidRPr="00D00A5E">
        <w:rPr>
          <w:sz w:val="28"/>
          <w:szCs w:val="28"/>
        </w:rPr>
        <w:t>р</w:t>
      </w:r>
      <w:proofErr w:type="gramEnd"/>
      <w:r w:rsidRPr="00D00A5E">
        <w:rPr>
          <w:sz w:val="28"/>
          <w:szCs w:val="28"/>
        </w:rPr>
        <w:t>ізних навчальних предметів за усну відповідь чи письмову роботу.</w:t>
      </w:r>
    </w:p>
    <w:p w:rsidR="00D00A5E" w:rsidRPr="00D00A5E" w:rsidRDefault="00D00A5E" w:rsidP="00D00A5E">
      <w:pPr>
        <w:pStyle w:val="a3"/>
        <w:spacing w:line="276" w:lineRule="auto"/>
        <w:ind w:firstLine="225"/>
        <w:jc w:val="both"/>
        <w:rPr>
          <w:sz w:val="28"/>
          <w:szCs w:val="28"/>
        </w:rPr>
      </w:pPr>
      <w:r w:rsidRPr="00D00A5E">
        <w:rPr>
          <w:sz w:val="28"/>
          <w:szCs w:val="28"/>
        </w:rPr>
        <w:t xml:space="preserve">На виставлення оцінки не повинні впливати й такі "ефекти суб'єктивізму": ефект сукупності - учень має високі оцінки з багатьох предметів, і вчителеві "незручно" виставляти нижчу, особливо коли йдеться про </w:t>
      </w:r>
      <w:proofErr w:type="gramStart"/>
      <w:r w:rsidRPr="00D00A5E">
        <w:rPr>
          <w:sz w:val="28"/>
          <w:szCs w:val="28"/>
        </w:rPr>
        <w:t>п</w:t>
      </w:r>
      <w:proofErr w:type="gramEnd"/>
      <w:r w:rsidRPr="00D00A5E">
        <w:rPr>
          <w:sz w:val="28"/>
          <w:szCs w:val="28"/>
        </w:rPr>
        <w:t xml:space="preserve">ідсумкові оцінки; ефект контрасту - клас слабенький, а один учень дещо вирізняється рівнем знань, і йому нерідко виставляють завищені оцінки; ефект </w:t>
      </w:r>
      <w:proofErr w:type="gramStart"/>
      <w:r w:rsidRPr="00D00A5E">
        <w:rPr>
          <w:sz w:val="28"/>
          <w:szCs w:val="28"/>
        </w:rPr>
        <w:t>соц</w:t>
      </w:r>
      <w:proofErr w:type="gramEnd"/>
      <w:r w:rsidRPr="00D00A5E">
        <w:rPr>
          <w:sz w:val="28"/>
          <w:szCs w:val="28"/>
        </w:rPr>
        <w:t xml:space="preserve">іального стану - йдеться про залежність оцінок дитини від соціального стану її батьків; ефект ідеалу - </w:t>
      </w:r>
      <w:r w:rsidRPr="00D00A5E">
        <w:rPr>
          <w:sz w:val="28"/>
          <w:szCs w:val="28"/>
        </w:rPr>
        <w:lastRenderedPageBreak/>
        <w:t>вчителі подекуди керуються принципом, що "математику один Господь знає на п'ятірку, вчитель - на четвірку, а прості смертні - тільки на нижчі оцінки"; ефект голосу - роздратованість надто голосною чи тихою відповіддю учня; ефект очікування - вчитель сподівався на кращу чи гіршу відповідь; ефект надмірної поблажливості чи суворості та ін. Усе це унеможливлює об'єктивне оцінювання знань, умінь та навичок учні</w:t>
      </w:r>
      <w:proofErr w:type="gramStart"/>
      <w:r w:rsidRPr="00D00A5E">
        <w:rPr>
          <w:sz w:val="28"/>
          <w:szCs w:val="28"/>
        </w:rPr>
        <w:t>в</w:t>
      </w:r>
      <w:proofErr w:type="gramEnd"/>
      <w:r w:rsidRPr="00D00A5E">
        <w:rPr>
          <w:sz w:val="28"/>
          <w:szCs w:val="28"/>
        </w:rPr>
        <w:t>.</w:t>
      </w:r>
    </w:p>
    <w:p w:rsidR="00D00A5E" w:rsidRPr="00D00A5E" w:rsidRDefault="00D00A5E" w:rsidP="00D00A5E">
      <w:pPr>
        <w:pStyle w:val="a3"/>
        <w:spacing w:line="276" w:lineRule="auto"/>
        <w:ind w:firstLine="225"/>
        <w:jc w:val="both"/>
        <w:rPr>
          <w:sz w:val="28"/>
          <w:szCs w:val="28"/>
        </w:rPr>
      </w:pPr>
      <w:r w:rsidRPr="00D00A5E">
        <w:rPr>
          <w:sz w:val="28"/>
          <w:szCs w:val="28"/>
        </w:rPr>
        <w:t xml:space="preserve">Суб'єктивізм і формалізм у перевірці та оцінюванні знань учнів можна подолати, виставляючи оцінку лише за наявний </w:t>
      </w:r>
      <w:proofErr w:type="gramStart"/>
      <w:r w:rsidRPr="00D00A5E">
        <w:rPr>
          <w:sz w:val="28"/>
          <w:szCs w:val="28"/>
        </w:rPr>
        <w:t>р</w:t>
      </w:r>
      <w:proofErr w:type="gramEnd"/>
      <w:r w:rsidRPr="00D00A5E">
        <w:rPr>
          <w:sz w:val="28"/>
          <w:szCs w:val="28"/>
        </w:rPr>
        <w:t xml:space="preserve">івень знань, умінь та навичок, а не за інерцією, зважаючи на попередні успіхи або невдачі; не допускаючи впливу на оцінку інших чинників (поведінки на уроці та ін.); недопущенням хаотичності у виставленні оцінок заради оцінок, не вмотивованості їх чи орієнтування на середній бал; використанням результатів перевірки для вдосконалення навчального процесу; запровадженням тематичного </w:t>
      </w:r>
      <w:proofErr w:type="gramStart"/>
      <w:r w:rsidRPr="00D00A5E">
        <w:rPr>
          <w:sz w:val="28"/>
          <w:szCs w:val="28"/>
        </w:rPr>
        <w:t>обл</w:t>
      </w:r>
      <w:proofErr w:type="gramEnd"/>
      <w:r w:rsidRPr="00D00A5E">
        <w:rPr>
          <w:sz w:val="28"/>
          <w:szCs w:val="28"/>
        </w:rPr>
        <w:t>іку знань, умінь і навичок.</w:t>
      </w:r>
    </w:p>
    <w:p w:rsidR="00D00A5E" w:rsidRPr="00D00A5E" w:rsidRDefault="00D00A5E" w:rsidP="00D00A5E">
      <w:pPr>
        <w:pStyle w:val="a3"/>
        <w:spacing w:line="276" w:lineRule="auto"/>
        <w:ind w:firstLine="225"/>
        <w:jc w:val="both"/>
        <w:rPr>
          <w:sz w:val="28"/>
          <w:szCs w:val="28"/>
        </w:rPr>
      </w:pPr>
      <w:r w:rsidRPr="00D00A5E">
        <w:rPr>
          <w:sz w:val="28"/>
          <w:szCs w:val="28"/>
        </w:rPr>
        <w:t>Загалом вмі</w:t>
      </w:r>
      <w:proofErr w:type="gramStart"/>
      <w:r w:rsidRPr="00D00A5E">
        <w:rPr>
          <w:sz w:val="28"/>
          <w:szCs w:val="28"/>
        </w:rPr>
        <w:t>ст</w:t>
      </w:r>
      <w:proofErr w:type="gramEnd"/>
      <w:r w:rsidRPr="00D00A5E">
        <w:rPr>
          <w:sz w:val="28"/>
          <w:szCs w:val="28"/>
        </w:rPr>
        <w:t xml:space="preserve"> і методика контролю на всіх етапах навчання мають спонукати учнів до пізнавальної діяльності, сприяти їх самостійності та активності, свідомому засвоєнню знань, умінь і навичок.</w:t>
      </w:r>
    </w:p>
    <w:p w:rsidR="00D00A5E" w:rsidRPr="00D00A5E" w:rsidRDefault="00D00A5E" w:rsidP="00D00A5E">
      <w:pPr>
        <w:pStyle w:val="a3"/>
        <w:spacing w:line="276" w:lineRule="auto"/>
        <w:ind w:firstLine="225"/>
        <w:jc w:val="both"/>
        <w:rPr>
          <w:sz w:val="28"/>
          <w:szCs w:val="28"/>
        </w:rPr>
      </w:pPr>
      <w:r w:rsidRPr="00D00A5E">
        <w:rPr>
          <w:sz w:val="28"/>
          <w:szCs w:val="28"/>
        </w:rPr>
        <w:t xml:space="preserve">Щоб об'єктивно оцінити знання учнів, </w:t>
      </w:r>
      <w:proofErr w:type="gramStart"/>
      <w:r w:rsidRPr="00D00A5E">
        <w:rPr>
          <w:sz w:val="28"/>
          <w:szCs w:val="28"/>
        </w:rPr>
        <w:t>треба</w:t>
      </w:r>
      <w:proofErr w:type="gramEnd"/>
      <w:r w:rsidRPr="00D00A5E">
        <w:rPr>
          <w:sz w:val="28"/>
          <w:szCs w:val="28"/>
        </w:rPr>
        <w:t xml:space="preserve"> перевірити засвоєння теоретичного матеріалу та вміння застосовувати його у стандартних і нестандартних ситуаціях. </w:t>
      </w:r>
      <w:proofErr w:type="gramStart"/>
      <w:r w:rsidRPr="00D00A5E">
        <w:rPr>
          <w:sz w:val="28"/>
          <w:szCs w:val="28"/>
        </w:rPr>
        <w:t>З</w:t>
      </w:r>
      <w:proofErr w:type="gramEnd"/>
      <w:r w:rsidRPr="00D00A5E">
        <w:rPr>
          <w:sz w:val="28"/>
          <w:szCs w:val="28"/>
        </w:rPr>
        <w:t xml:space="preserve"> цією метою проводять урок-залік з використанням магнітофона або кодоскопа. Добирають 10-12 запитань </w:t>
      </w:r>
      <w:proofErr w:type="gramStart"/>
      <w:r w:rsidRPr="00D00A5E">
        <w:rPr>
          <w:sz w:val="28"/>
          <w:szCs w:val="28"/>
        </w:rPr>
        <w:t>р</w:t>
      </w:r>
      <w:proofErr w:type="gramEnd"/>
      <w:r w:rsidRPr="00D00A5E">
        <w:rPr>
          <w:sz w:val="28"/>
          <w:szCs w:val="28"/>
        </w:rPr>
        <w:t xml:space="preserve">ізної складності, що потребують не лише відтворення знання про явище, закон чи формулу, а й застосування до пояснення певного факту і записують їх на магнітофон з інтервалом 40- 70 секунд. </w:t>
      </w:r>
      <w:proofErr w:type="gramStart"/>
      <w:r w:rsidRPr="00D00A5E">
        <w:rPr>
          <w:sz w:val="28"/>
          <w:szCs w:val="28"/>
        </w:rPr>
        <w:t>Кр</w:t>
      </w:r>
      <w:proofErr w:type="gramEnd"/>
      <w:r w:rsidRPr="00D00A5E">
        <w:rPr>
          <w:sz w:val="28"/>
          <w:szCs w:val="28"/>
        </w:rPr>
        <w:t>ім того, учні повинні ще розв'язати дві задачі: просту й підвищеної складності. Урок проводять у такий спосіб: половина учнів працює з магнітофоном (пишуть диктант з фізики), інші розв'язують задачі, відтак міняються ролями. Запитання і задачі вчитель готує у двох варі</w:t>
      </w:r>
      <w:proofErr w:type="gramStart"/>
      <w:r w:rsidRPr="00D00A5E">
        <w:rPr>
          <w:sz w:val="28"/>
          <w:szCs w:val="28"/>
        </w:rPr>
        <w:t>антах</w:t>
      </w:r>
      <w:proofErr w:type="gramEnd"/>
      <w:r w:rsidRPr="00D00A5E">
        <w:rPr>
          <w:sz w:val="28"/>
          <w:szCs w:val="28"/>
        </w:rPr>
        <w:t>, що унеможливлює списування. Робота з магнітофоном потребує особливої пильності. Діти, які не встигли запам'ятати змі</w:t>
      </w:r>
      <w:proofErr w:type="gramStart"/>
      <w:r w:rsidRPr="00D00A5E">
        <w:rPr>
          <w:sz w:val="28"/>
          <w:szCs w:val="28"/>
        </w:rPr>
        <w:t>ст</w:t>
      </w:r>
      <w:proofErr w:type="gramEnd"/>
      <w:r w:rsidRPr="00D00A5E">
        <w:rPr>
          <w:sz w:val="28"/>
          <w:szCs w:val="28"/>
        </w:rPr>
        <w:t xml:space="preserve"> запитання, звертаються по допомогу до товаришів і тому не можуть відповісти на запитання протягом паузи.</w:t>
      </w:r>
    </w:p>
    <w:p w:rsidR="00D00A5E" w:rsidRPr="00D00A5E" w:rsidRDefault="00D00A5E" w:rsidP="00D00A5E">
      <w:pPr>
        <w:pStyle w:val="a3"/>
        <w:spacing w:line="276" w:lineRule="auto"/>
        <w:ind w:firstLine="225"/>
        <w:jc w:val="both"/>
        <w:rPr>
          <w:sz w:val="28"/>
          <w:szCs w:val="28"/>
        </w:rPr>
      </w:pPr>
      <w:r w:rsidRPr="00D00A5E">
        <w:rPr>
          <w:sz w:val="28"/>
          <w:szCs w:val="28"/>
        </w:rPr>
        <w:t xml:space="preserve">Залік проводять і в такий спосіб. Клас ділять на ланки по 3-4 учні. У кожній ланці є ланковий, який добре засвоює </w:t>
      </w:r>
      <w:proofErr w:type="gramStart"/>
      <w:r w:rsidRPr="00D00A5E">
        <w:rPr>
          <w:sz w:val="28"/>
          <w:szCs w:val="28"/>
        </w:rPr>
        <w:t>матер</w:t>
      </w:r>
      <w:proofErr w:type="gramEnd"/>
      <w:r w:rsidRPr="00D00A5E">
        <w:rPr>
          <w:sz w:val="28"/>
          <w:szCs w:val="28"/>
        </w:rPr>
        <w:t>іал, уміє розв'язувати задачі. Йому доручають опитати учнів своєї ланки й оцінити їхні знання. Для цього учень, який складає залік, має картку з номерами запитань і задач, що охоплюють дану тему. Біля кожного запитання ставлять відповідний символ, що означа</w:t>
      </w:r>
      <w:proofErr w:type="gramStart"/>
      <w:r w:rsidRPr="00D00A5E">
        <w:rPr>
          <w:sz w:val="28"/>
          <w:szCs w:val="28"/>
        </w:rPr>
        <w:t>є:</w:t>
      </w:r>
      <w:proofErr w:type="gramEnd"/>
      <w:r w:rsidRPr="00D00A5E">
        <w:rPr>
          <w:sz w:val="28"/>
          <w:szCs w:val="28"/>
        </w:rPr>
        <w:t xml:space="preserve"> "учень </w:t>
      </w:r>
      <w:r w:rsidRPr="00D00A5E">
        <w:rPr>
          <w:sz w:val="28"/>
          <w:szCs w:val="28"/>
        </w:rPr>
        <w:lastRenderedPageBreak/>
        <w:t xml:space="preserve">знає питання", "знає слабко", "не знає". Заповнені ланковим картки збирає вчитель. Самі ланкові складають залік </w:t>
      </w:r>
      <w:proofErr w:type="gramStart"/>
      <w:r w:rsidRPr="00D00A5E">
        <w:rPr>
          <w:sz w:val="28"/>
          <w:szCs w:val="28"/>
        </w:rPr>
        <w:t>п</w:t>
      </w:r>
      <w:proofErr w:type="gramEnd"/>
      <w:r w:rsidRPr="00D00A5E">
        <w:rPr>
          <w:sz w:val="28"/>
          <w:szCs w:val="28"/>
        </w:rPr>
        <w:t xml:space="preserve">ізніше. Враховується їхня активність </w:t>
      </w:r>
      <w:proofErr w:type="gramStart"/>
      <w:r w:rsidRPr="00D00A5E">
        <w:rPr>
          <w:sz w:val="28"/>
          <w:szCs w:val="28"/>
        </w:rPr>
        <w:t>п</w:t>
      </w:r>
      <w:proofErr w:type="gramEnd"/>
      <w:r w:rsidRPr="00D00A5E">
        <w:rPr>
          <w:sz w:val="28"/>
          <w:szCs w:val="28"/>
        </w:rPr>
        <w:t>ід час вивчення теми, виконання ними лабораторних робіт тощо.</w:t>
      </w:r>
    </w:p>
    <w:p w:rsidR="00D00A5E" w:rsidRPr="00D00A5E" w:rsidRDefault="00D00A5E" w:rsidP="00D00A5E">
      <w:pPr>
        <w:pStyle w:val="a3"/>
        <w:spacing w:line="276" w:lineRule="auto"/>
        <w:ind w:firstLine="225"/>
        <w:jc w:val="both"/>
        <w:rPr>
          <w:sz w:val="28"/>
          <w:szCs w:val="28"/>
        </w:rPr>
      </w:pPr>
      <w:r w:rsidRPr="00D00A5E">
        <w:rPr>
          <w:sz w:val="28"/>
          <w:szCs w:val="28"/>
        </w:rPr>
        <w:t xml:space="preserve">Залік можна проводити за допомогою карток. Для цього складають їх 6-8 варіантів, що містять </w:t>
      </w:r>
      <w:proofErr w:type="gramStart"/>
      <w:r w:rsidRPr="00D00A5E">
        <w:rPr>
          <w:sz w:val="28"/>
          <w:szCs w:val="28"/>
        </w:rPr>
        <w:t>р</w:t>
      </w:r>
      <w:proofErr w:type="gramEnd"/>
      <w:r w:rsidRPr="00D00A5E">
        <w:rPr>
          <w:sz w:val="28"/>
          <w:szCs w:val="28"/>
        </w:rPr>
        <w:t>івневі запитання і задачі (як правило, їх п'ять). Картки розкладають на робочих місцях так, щоб унеможливити спілкування між учнями, які отримал</w:t>
      </w:r>
      <w:bookmarkStart w:id="0" w:name="_GoBack"/>
      <w:bookmarkEnd w:id="0"/>
      <w:r w:rsidRPr="00D00A5E">
        <w:rPr>
          <w:sz w:val="28"/>
          <w:szCs w:val="28"/>
        </w:rPr>
        <w:t xml:space="preserve">и однакові варіанти, тобто забезпечити повну самостійність і запобігти списуванню, що дає змогу об'єктивно оцінити знання </w:t>
      </w:r>
      <w:proofErr w:type="gramStart"/>
      <w:r w:rsidRPr="00D00A5E">
        <w:rPr>
          <w:sz w:val="28"/>
          <w:szCs w:val="28"/>
        </w:rPr>
        <w:t>кожного</w:t>
      </w:r>
      <w:proofErr w:type="gramEnd"/>
      <w:r w:rsidRPr="00D00A5E">
        <w:rPr>
          <w:sz w:val="28"/>
          <w:szCs w:val="28"/>
        </w:rPr>
        <w:t xml:space="preserve"> учня і за потреби організувати окремим із них додаткові заняття і повторний залік.</w:t>
      </w:r>
    </w:p>
    <w:p w:rsidR="001476ED" w:rsidRPr="00D00A5E" w:rsidRDefault="001476ED" w:rsidP="00D00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76ED" w:rsidRPr="00D00A5E" w:rsidSect="00AF59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14"/>
    <w:rsid w:val="001476ED"/>
    <w:rsid w:val="00376914"/>
    <w:rsid w:val="005072FA"/>
    <w:rsid w:val="007E215E"/>
    <w:rsid w:val="00A626F3"/>
    <w:rsid w:val="00AF59A5"/>
    <w:rsid w:val="00D00A5E"/>
    <w:rsid w:val="00E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9A5"/>
    <w:rPr>
      <w:b/>
      <w:bCs/>
    </w:rPr>
  </w:style>
  <w:style w:type="character" w:customStyle="1" w:styleId="apple-converted-space">
    <w:name w:val="apple-converted-space"/>
    <w:basedOn w:val="a0"/>
    <w:rsid w:val="00AF59A5"/>
  </w:style>
  <w:style w:type="table" w:styleId="a5">
    <w:name w:val="Table Grid"/>
    <w:basedOn w:val="a1"/>
    <w:uiPriority w:val="59"/>
    <w:rsid w:val="00AF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9A5"/>
    <w:rPr>
      <w:b/>
      <w:bCs/>
    </w:rPr>
  </w:style>
  <w:style w:type="character" w:customStyle="1" w:styleId="apple-converted-space">
    <w:name w:val="apple-converted-space"/>
    <w:basedOn w:val="a0"/>
    <w:rsid w:val="00AF59A5"/>
  </w:style>
  <w:style w:type="table" w:styleId="a5">
    <w:name w:val="Table Grid"/>
    <w:basedOn w:val="a1"/>
    <w:uiPriority w:val="59"/>
    <w:rsid w:val="00AF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73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2018-11-01T07:18:00Z</cp:lastPrinted>
  <dcterms:created xsi:type="dcterms:W3CDTF">2018-11-01T07:01:00Z</dcterms:created>
  <dcterms:modified xsi:type="dcterms:W3CDTF">2018-11-01T07:19:00Z</dcterms:modified>
</cp:coreProperties>
</file>